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Văn hóa</w:t>
      </w:r>
      <w:r w:rsidRPr="00FA254E">
        <w:rPr>
          <w:b/>
          <w:bCs/>
          <w:noProof/>
          <w:sz w:val="24"/>
          <w:szCs w:val="24"/>
        </w:rPr>
        <w:t xml:space="preserve"> - văn minh Trung Quốc</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  CHINESE</w:t>
      </w:r>
      <w:r w:rsidRPr="00FA254E">
        <w:rPr>
          <w:b/>
          <w:bCs/>
          <w:noProof/>
          <w:sz w:val="24"/>
          <w:szCs w:val="24"/>
        </w:rPr>
        <w:t xml:space="preserve"> CULTURE AND CIVILIZATION</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TRI309</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kiến thức cơ bản về đất nước và con người Trung Quốc bao gồm lịch sử phát triển, lễ tết lễ hội, ẩm thực vùng miền, và mối tương quan giữa hai nền văn hóa Trung – Việt dưới góc độ ngôn ngữ.</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giúp sinh viên nâng cao kỹ năng đọc hiểu, phân tích về các đặc điểm văn hóa Trung Quốc, đồng thời có kỹ năng liên hệ, so sánh với đặc điểm văn hóa của đất nước mình.</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rõ mục tiêu, yêu cầu của môn học cũng như nội dung khái quát về văn hóa văn minh Trung Quốc.</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rõ các giai đoạn và đặc điểm nổi bật trong lịch sử văn hóa Trung Quốc.</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các đặc điểm về truyền thống, tập tục trong các ngày lễ tết, lễ hội lớn của Trung Quốc và so sánh với Việt Nam.</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các đặc trưng trong văn hóa ẩm thực của Trung Quốc và so sánh với Việt Nam.</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các đặc điểm văn hóa trong ngôn ngữ Trung Quốc và so sánh với tiếng Việt (từ Hán Việt, thành ngữ Hán Việt).</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nội dung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Khái quát</w:t>
            </w:r>
            <w:r w:rsidRPr="00FA254E">
              <w:rPr>
                <w:noProof/>
                <w:sz w:val="24"/>
                <w:szCs w:val="24"/>
              </w:rPr>
              <w:t xml:space="preserve"> lịch sử văn hóa Trung Quốc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Văn hóa</w:t>
            </w:r>
            <w:r w:rsidRPr="00FA254E">
              <w:rPr>
                <w:noProof/>
                <w:sz w:val="24"/>
                <w:szCs w:val="24"/>
              </w:rPr>
              <w:t xml:space="preserve"> Lễ tết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Văn hóa</w:t>
            </w:r>
            <w:r w:rsidRPr="00FA254E">
              <w:rPr>
                <w:noProof/>
                <w:sz w:val="24"/>
                <w:szCs w:val="24"/>
              </w:rPr>
              <w:t xml:space="preserve"> Ẩm thực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Văn hóa</w:t>
            </w:r>
            <w:r w:rsidRPr="00FA254E">
              <w:rPr>
                <w:noProof/>
                <w:sz w:val="24"/>
                <w:szCs w:val="24"/>
              </w:rPr>
              <w:t xml:space="preserve"> Ngôn ngữ</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7</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Hoạt động</w:t>
            </w:r>
            <w:r w:rsidRPr="00FA254E">
              <w:rPr>
                <w:noProof/>
                <w:sz w:val="24"/>
                <w:szCs w:val="24"/>
              </w:rPr>
              <w:t xml:space="preserve"> nhóm</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Seminar</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 (10%)</w:t>
            </w:r>
          </w:p>
          <w:p w:rsidR="00EF0C39" w:rsidRPr="00FA254E" w:rsidP="00BB1685">
            <w:pPr>
              <w:spacing w:before="40" w:after="40"/>
              <w:rPr>
                <w:color w:val="000000"/>
                <w:sz w:val="24"/>
                <w:szCs w:val="24"/>
              </w:rPr>
            </w:pPr>
            <w:r w:rsidRPr="00FA254E">
              <w:rPr>
                <w:noProof/>
                <w:sz w:val="24"/>
                <w:szCs w:val="24"/>
              </w:rPr>
              <w:t>- Bài tập, kiểm tra, thuyết trình nhóm (40%)</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p w:rsidR="00EF0C39" w:rsidRPr="00FA254E" w:rsidP="00BB1685">
            <w:pPr>
              <w:spacing w:before="40" w:after="40"/>
              <w:rPr>
                <w:color w:val="000000"/>
                <w:sz w:val="24"/>
                <w:szCs w:val="24"/>
              </w:rPr>
            </w:pPr>
            <w:r w:rsidRPr="00FA254E">
              <w:rPr>
                <w:noProof/>
                <w:sz w:val="24"/>
                <w:szCs w:val="24"/>
              </w:rPr>
              <w:t>Hình thức thi: Bài tập lớn – vấn đáp</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Will Durant</w:t>
            </w:r>
            <w:r w:rsidRPr="00FA254E">
              <w:rPr>
                <w:noProof/>
                <w:sz w:val="24"/>
                <w:szCs w:val="24"/>
              </w:rPr>
              <w:t xml:space="preserve"> (Nguyễn Hiến Lê dịch)</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Lịch sử</w:t>
            </w:r>
            <w:r w:rsidRPr="00FA254E">
              <w:rPr>
                <w:noProof/>
                <w:sz w:val="24"/>
                <w:szCs w:val="24"/>
              </w:rPr>
              <w:t xml:space="preserve"> văn minh Trung Hoa</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2018</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NXB Hồng</w:t>
            </w:r>
            <w:r w:rsidRPr="00FA254E">
              <w:rPr>
                <w:noProof/>
                <w:sz w:val="24"/>
                <w:szCs w:val="24"/>
              </w:rPr>
              <w:t xml:space="preserve"> Đức</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Nhà sách</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Vũ Dương</w:t>
            </w:r>
            <w:r w:rsidRPr="00FA254E">
              <w:rPr>
                <w:noProof/>
                <w:sz w:val="24"/>
                <w:szCs w:val="24"/>
              </w:rPr>
              <w:t xml:space="preserve"> Ninh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Lịch sử văn minh thế giới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Giáo</w:t>
            </w:r>
            <w:r w:rsidRPr="00FA254E">
              <w:rPr>
                <w:noProof/>
                <w:sz w:val="24"/>
                <w:szCs w:val="24"/>
              </w:rPr>
              <w:t xml:space="preserve"> dục</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GV cung</w:t>
            </w:r>
            <w:r w:rsidRPr="00FA254E">
              <w:rPr>
                <w:noProof/>
                <w:sz w:val="24"/>
                <w:szCs w:val="24"/>
              </w:rPr>
              <w:t xml:space="preserve"> cấp</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吴小和</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中国文化史纲要</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北京大学出版社</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GV cung</w:t>
            </w:r>
            <w:r w:rsidRPr="00FA254E">
              <w:rPr>
                <w:noProof/>
                <w:sz w:val="24"/>
                <w:szCs w:val="24"/>
              </w:rPr>
              <w:t xml:space="preserve"> cấp</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Lê Thị</w:t>
            </w:r>
            <w:r w:rsidRPr="00FA254E">
              <w:rPr>
                <w:noProof/>
                <w:sz w:val="24"/>
                <w:szCs w:val="24"/>
              </w:rPr>
              <w:t xml:space="preserve"> Bảo Châu</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Tài liệu</w:t>
            </w:r>
            <w:r w:rsidRPr="00FA254E">
              <w:rPr>
                <w:noProof/>
                <w:sz w:val="24"/>
                <w:szCs w:val="24"/>
              </w:rPr>
              <w:t xml:space="preserve"> song ngữ câu chuyện thành ngữ Trung Quốc</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GV biên</w:t>
            </w:r>
            <w:r w:rsidRPr="00FA254E">
              <w:rPr>
                <w:noProof/>
                <w:sz w:val="24"/>
                <w:szCs w:val="24"/>
              </w:rPr>
              <w:t xml:space="preserve"> soạn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25/06</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Lê Thị</w:t>
      </w:r>
      <w:r>
        <w:rPr>
          <w:b/>
          <w:bCs/>
          <w:noProof/>
          <w:sz w:val="24"/>
          <w:szCs w:val="24"/>
        </w:rPr>
        <w:t xml:space="preserve"> Bảo Châu</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